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</w:t>
      </w:r>
      <w:bookmarkStart w:id="0" w:name="_GoBack"/>
      <w:r/>
      <w:bookmarkEnd w:id="0"/>
      <w:r>
        <w:rPr>
          <w:rFonts w:ascii="Times New Roman" w:hAnsi="Times New Roman" w:eastAsia="Calibri"/>
          <w:b/>
          <w:caps/>
          <w:szCs w:val="24"/>
        </w:rPr>
        <w:t xml:space="preserve">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bCs/>
          <w:caps/>
          <w:highlight w:val="none"/>
        </w:rPr>
      </w:r>
      <w:r>
        <w:rPr>
          <w:rFonts w:ascii="Times New Roman" w:hAnsi="Times New Roman" w:eastAsia="Calibri"/>
          <w:b/>
          <w:bCs/>
          <w:caps/>
          <w:highlight w:val="none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51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1"/>
        <w:gridCol w:w="2268"/>
        <w:gridCol w:w="6800"/>
      </w:tblGrid>
      <w:tr>
        <w:tblPrEx/>
        <w:trPr>
          <w:trHeight w:val="243"/>
        </w:trPr>
        <w:tc>
          <w:tcPr>
            <w:tcW w:w="601" w:type="dxa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6800" w:type="dxa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601" w:type="dxa"/>
            <w:textDirection w:val="lrTb"/>
            <w:noWrap w:val="false"/>
          </w:tcPr>
          <w:p>
            <w:pPr>
              <w:contextualSpacing/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6800" w:type="dxa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ОКПД2 33.12.11.004 оказание услуг по виброобследованию турбоагрегатов ст.№1,2,3 и вспомогательного оборудования на территории структурного подразделения «Нерюнгринская ГРЭС», Республика Саха (Якутия), г. Нерюнгри, пос. Серебряный Бор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601" w:type="dxa"/>
            <w:textDirection w:val="lrTb"/>
            <w:noWrap w:val="false"/>
          </w:tcPr>
          <w:p>
            <w:pPr>
              <w:contextualSpacing/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6800" w:type="dxa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widowControl w:val="off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41023027-ЭКСП ПРОД-2026-ДГК-НерГРЭС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601" w:type="dxa"/>
            <w:textDirection w:val="lrTb"/>
            <w:noWrap w:val="false"/>
          </w:tcPr>
          <w:p>
            <w:pPr>
              <w:contextualSpacing/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6800" w:type="dxa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14 890 889,00 руб. без НДС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ind w:left="360" w:firstLine="0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2. Использованный метод (методы) </w:t>
      </w:r>
      <w:r>
        <w:rPr>
          <w:rFonts w:ascii="Times New Roman" w:hAnsi="Times New Roman" w:eastAsia="Calibri"/>
          <w:b/>
          <w:sz w:val="26"/>
          <w:szCs w:val="26"/>
        </w:rPr>
        <w:t xml:space="preserve">расчёта</w:t>
      </w:r>
      <w:r>
        <w:rPr>
          <w:rFonts w:ascii="Times New Roman" w:hAnsi="Times New Roman" w:eastAsia="Calibri"/>
          <w:b/>
          <w:sz w:val="26"/>
          <w:szCs w:val="26"/>
        </w:rPr>
        <w:t xml:space="preserve"> НМЦ / цены единицы товара, работы, услуги:</w:t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pStyle w:val="853"/>
        <w:numPr>
          <w:ilvl w:val="0"/>
          <w:numId w:val="4"/>
        </w:numPr>
        <w:contextualSpacing/>
        <w:jc w:val="both"/>
        <w:spacing w:after="12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Обоснование расчёта НМЦ: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прилагаемый локальный сметный расчет (Приложение №3 к Техническим требованиям)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firstLine="709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iCs/>
          <w:szCs w:val="24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erReference w:type="default" r:id="rId9"/>
      <w:footnotePr/>
      <w:endnotePr/>
      <w:type w:val="nextPage"/>
      <w:pgSz w:w="11906" w:h="16838" w:orient="portrait"/>
      <w:pgMar w:top="709" w:right="849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Lohit Devanagari">
    <w:panose1 w:val="02000603000000000000"/>
  </w:font>
  <w:font w:name="Tahoma">
    <w:panose1 w:val="020B0604030504040204"/>
  </w:font>
  <w:font w:name="Tempora LGC Uni">
    <w:panose1 w:val="02020603050405020304"/>
  </w:font>
  <w:font w:name="Segoe UI">
    <w:panose1 w:val="020B0503020204020204"/>
  </w:font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47"/>
    <w:next w:val="847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basedOn w:val="848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7"/>
    <w:next w:val="847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48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7"/>
    <w:next w:val="847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48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7"/>
    <w:next w:val="847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48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7"/>
    <w:next w:val="847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basedOn w:val="848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7"/>
    <w:next w:val="847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48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7"/>
    <w:next w:val="847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48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7"/>
    <w:next w:val="84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48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7"/>
    <w:next w:val="847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48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Title"/>
    <w:basedOn w:val="847"/>
    <w:next w:val="847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8"/>
    <w:link w:val="690"/>
    <w:uiPriority w:val="10"/>
    <w:rPr>
      <w:sz w:val="48"/>
      <w:szCs w:val="48"/>
    </w:rPr>
  </w:style>
  <w:style w:type="paragraph" w:styleId="692">
    <w:name w:val="Subtitle"/>
    <w:basedOn w:val="847"/>
    <w:next w:val="847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8"/>
    <w:link w:val="692"/>
    <w:uiPriority w:val="11"/>
    <w:rPr>
      <w:sz w:val="24"/>
      <w:szCs w:val="24"/>
    </w:rPr>
  </w:style>
  <w:style w:type="paragraph" w:styleId="694">
    <w:name w:val="Quote"/>
    <w:basedOn w:val="847"/>
    <w:next w:val="847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7"/>
    <w:next w:val="847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7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basedOn w:val="848"/>
    <w:link w:val="698"/>
    <w:uiPriority w:val="99"/>
  </w:style>
  <w:style w:type="paragraph" w:styleId="700">
    <w:name w:val="Footer"/>
    <w:basedOn w:val="847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basedOn w:val="848"/>
    <w:link w:val="700"/>
    <w:uiPriority w:val="99"/>
  </w:style>
  <w:style w:type="paragraph" w:styleId="702">
    <w:name w:val="Caption"/>
    <w:basedOn w:val="847"/>
    <w:next w:val="847"/>
    <w:link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700"/>
    <w:uiPriority w:val="99"/>
  </w:style>
  <w:style w:type="table" w:styleId="704">
    <w:name w:val="Table Grid Light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3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4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5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6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7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8">
    <w:name w:val="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0">
    <w:name w:val="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1">
    <w:name w:val="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2">
    <w:name w:val="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3">
    <w:name w:val="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4">
    <w:name w:val="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5">
    <w:name w:val="Bordered &amp; 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7">
    <w:name w:val="Bordered &amp; 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8">
    <w:name w:val="Bordered &amp; 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9">
    <w:name w:val="Bordered &amp; 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0">
    <w:name w:val="Bordered &amp; 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1">
    <w:name w:val="Bordered &amp; 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2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paragraph" w:styleId="830">
    <w:name w:val="footnote text"/>
    <w:basedOn w:val="847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48"/>
    <w:uiPriority w:val="99"/>
    <w:unhideWhenUsed/>
    <w:rPr>
      <w:vertAlign w:val="superscript"/>
    </w:rPr>
  </w:style>
  <w:style w:type="paragraph" w:styleId="833">
    <w:name w:val="endnote text"/>
    <w:basedOn w:val="847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48"/>
    <w:uiPriority w:val="99"/>
    <w:semiHidden/>
    <w:unhideWhenUsed/>
    <w:rPr>
      <w:vertAlign w:val="superscript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table" w:styleId="851" w:customStyle="1">
    <w:name w:val="Сетка таблицы1"/>
    <w:basedOn w:val="849"/>
    <w:next w:val="85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2">
    <w:name w:val="Table Grid"/>
    <w:basedOn w:val="84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3">
    <w:name w:val="List Paragraph"/>
    <w:basedOn w:val="847"/>
    <w:uiPriority w:val="34"/>
    <w:qFormat/>
    <w:pPr>
      <w:ind w:left="720"/>
    </w:pPr>
    <w:rPr>
      <w:rFonts w:ascii="Times New Roman" w:hAnsi="Times New Roman" w:eastAsia="Times New Roman"/>
      <w:sz w:val="20"/>
      <w:lang w:eastAsia="ru-RU"/>
    </w:rPr>
  </w:style>
  <w:style w:type="paragraph" w:styleId="854">
    <w:name w:val="No Spacing"/>
    <w:uiPriority w:val="1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paragraph" w:styleId="855">
    <w:name w:val="Balloon Text"/>
    <w:basedOn w:val="847"/>
    <w:link w:val="85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6" w:customStyle="1">
    <w:name w:val="Текст выноски Знак"/>
    <w:basedOn w:val="848"/>
    <w:link w:val="855"/>
    <w:uiPriority w:val="99"/>
    <w:semiHidden/>
    <w:rPr>
      <w:rFonts w:ascii="Segoe UI" w:hAnsi="Segoe UI" w:eastAsia="Geneva" w:cs="Segoe UI"/>
      <w:sz w:val="18"/>
      <w:szCs w:val="18"/>
    </w:rPr>
  </w:style>
  <w:style w:type="paragraph" w:styleId="857" w:customStyle="1">
    <w:name w:val="Text body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empora LGC Uni" w:hAnsi="Tempora LGC Uni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Анохина Александра Владимировна</dc:creator>
  <cp:keywords/>
  <dc:description/>
  <cp:lastModifiedBy>lutfullina_ee</cp:lastModifiedBy>
  <cp:revision>34</cp:revision>
  <dcterms:created xsi:type="dcterms:W3CDTF">2021-12-23T05:59:00Z</dcterms:created>
  <dcterms:modified xsi:type="dcterms:W3CDTF">2026-04-29T06:09:25Z</dcterms:modified>
</cp:coreProperties>
</file>